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jc w:val="both"/>
        <w:textAlignment w:val="auto"/>
        <w:rPr>
          <w:rFonts w:hint="eastAsia" w:ascii="Times New Roman" w:hAnsi="Times New Roman" w:eastAsia="黑体" w:cs="黑体"/>
          <w:kern w:val="0"/>
          <w:sz w:val="32"/>
          <w:szCs w:val="32"/>
          <w:lang w:val="en-US" w:eastAsia="zh-CN"/>
        </w:rPr>
      </w:pPr>
      <w:r>
        <w:rPr>
          <w:rFonts w:hint="eastAsia" w:ascii="Times New Roman" w:hAnsi="Times New Roman" w:eastAsia="黑体" w:cs="黑体"/>
          <w:kern w:val="0"/>
          <w:sz w:val="32"/>
          <w:szCs w:val="32"/>
          <w:lang w:val="en-US" w:eastAsia="zh-CN"/>
        </w:rPr>
        <w:t>附件1</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p>
    <w:p>
      <w:pPr>
        <w:keepNext w:val="0"/>
        <w:keepLines w:val="0"/>
        <w:pageBreakBefore w:val="0"/>
        <w:widowControl w:val="0"/>
        <w:kinsoku/>
        <w:wordWrap/>
        <w:overflowPunct/>
        <w:topLinePunct w:val="0"/>
        <w:autoSpaceDE w:val="0"/>
        <w:autoSpaceDN/>
        <w:bidi w:val="0"/>
        <w:adjustRightInd w:val="0"/>
        <w:snapToGrid w:val="0"/>
        <w:spacing w:before="0" w:beforeAutospacing="0" w:after="0" w:line="640" w:lineRule="exact"/>
        <w:jc w:val="center"/>
        <w:textAlignment w:val="auto"/>
        <w:rPr>
          <w:rFonts w:hint="eastAsia" w:ascii="Times New Roman" w:hAnsi="Times New Roman" w:eastAsia="方正小标宋简体" w:cs="Times New Roman"/>
          <w:kern w:val="0"/>
          <w:sz w:val="44"/>
          <w:szCs w:val="44"/>
          <w:lang w:val="en-US" w:eastAsia="zh-CN"/>
        </w:rPr>
      </w:pPr>
      <w:bookmarkStart w:id="0" w:name="_GoBack"/>
      <w:r>
        <w:rPr>
          <w:rFonts w:hint="eastAsia" w:ascii="Times New Roman" w:hAnsi="Times New Roman" w:eastAsia="方正小标宋简体" w:cs="Times New Roman"/>
          <w:kern w:val="0"/>
          <w:sz w:val="44"/>
          <w:szCs w:val="44"/>
          <w:lang w:val="en-US" w:eastAsia="zh-CN"/>
        </w:rPr>
        <w:t>贵州省红色文化研究选题规划</w:t>
      </w:r>
      <w:bookmarkEnd w:id="0"/>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黑体" w:cs="黑体"/>
          <w:kern w:val="0"/>
          <w:sz w:val="32"/>
          <w:szCs w:val="32"/>
          <w:lang w:val="en-US" w:eastAsia="zh-CN"/>
        </w:rPr>
      </w:pPr>
      <w:r>
        <w:rPr>
          <w:rFonts w:hint="eastAsia" w:ascii="Times New Roman" w:hAnsi="Times New Roman" w:eastAsia="黑体" w:cs="黑体"/>
          <w:kern w:val="0"/>
          <w:sz w:val="32"/>
          <w:szCs w:val="32"/>
          <w:lang w:val="en-US" w:eastAsia="zh-CN"/>
        </w:rPr>
        <w:t>一、遵义会议与遵义会议精神研究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r>
        <w:rPr>
          <w:rFonts w:hint="eastAsia" w:ascii="Times New Roman" w:hAnsi="Times New Roman" w:eastAsia="仿宋_GB2312" w:cs="Times New Roman"/>
          <w:kern w:val="0"/>
          <w:sz w:val="32"/>
          <w:szCs w:val="32"/>
          <w:lang w:val="en-US" w:eastAsia="zh-CN"/>
        </w:rPr>
        <w:t>深入挖掘遵义会议的精神特质，研究阐释遵义会议与遵义会议精神蕴含的当代价值。</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1．习近平总书记关于遵义会议和遵义会议精神的重要论述阐释与研究。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2"/>
          <w:sz w:val="32"/>
          <w:szCs w:val="32"/>
          <w:lang w:val="en" w:eastAsia="zh-CN"/>
        </w:rPr>
      </w:pPr>
      <w:r>
        <w:rPr>
          <w:rFonts w:hint="eastAsia" w:ascii="Times New Roman" w:hAnsi="Times New Roman" w:eastAsia="仿宋_GB2312" w:cs="仿宋_GB2312"/>
          <w:kern w:val="2"/>
          <w:sz w:val="32"/>
          <w:szCs w:val="32"/>
          <w:lang w:val="en-US" w:eastAsia="zh-CN"/>
        </w:rPr>
        <w:t>2</w:t>
      </w:r>
      <w:r>
        <w:rPr>
          <w:rFonts w:hint="eastAsia" w:ascii="Times New Roman" w:hAnsi="Times New Roman" w:eastAsia="仿宋_GB2312" w:cs="仿宋_GB2312"/>
          <w:kern w:val="2"/>
          <w:sz w:val="32"/>
          <w:szCs w:val="32"/>
          <w:lang w:val="en" w:eastAsia="zh-CN"/>
        </w:rPr>
        <w:t>．遵义会议精神的产生、内涵、特点以及在新时代的价值研究（比如，遵义会议对党的核心形成、党的民主集中制健全完善等的重大意义及价值，等等）。</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2"/>
          <w:sz w:val="32"/>
          <w:szCs w:val="32"/>
          <w:lang w:val="en" w:eastAsia="zh-CN"/>
        </w:rPr>
      </w:pPr>
      <w:r>
        <w:rPr>
          <w:rFonts w:hint="eastAsia" w:ascii="Times New Roman" w:hAnsi="Times New Roman" w:eastAsia="仿宋_GB2312" w:cs="仿宋_GB2312"/>
          <w:kern w:val="2"/>
          <w:sz w:val="32"/>
          <w:szCs w:val="32"/>
          <w:lang w:val="en-US" w:eastAsia="zh-CN"/>
        </w:rPr>
        <w:t>3</w:t>
      </w:r>
      <w:r>
        <w:rPr>
          <w:rFonts w:hint="eastAsia" w:ascii="Times New Roman" w:hAnsi="Times New Roman" w:eastAsia="仿宋_GB2312" w:cs="仿宋_GB2312"/>
          <w:kern w:val="2"/>
          <w:sz w:val="32"/>
          <w:szCs w:val="32"/>
          <w:lang w:val="en" w:eastAsia="zh-CN"/>
        </w:rPr>
        <w:t>．遵义会议、遵义会议精神与中国共产党人精神谱系的关系研究。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黑体" w:cs="黑体"/>
          <w:kern w:val="0"/>
          <w:sz w:val="32"/>
          <w:szCs w:val="32"/>
          <w:lang w:val="en-US" w:eastAsia="zh-CN"/>
        </w:rPr>
      </w:pPr>
      <w:r>
        <w:rPr>
          <w:rFonts w:hint="eastAsia" w:ascii="Times New Roman" w:hAnsi="Times New Roman" w:eastAsia="黑体" w:cs="黑体"/>
          <w:kern w:val="0"/>
          <w:sz w:val="32"/>
          <w:szCs w:val="32"/>
          <w:lang w:val="en-US" w:eastAsia="zh-CN"/>
        </w:rPr>
        <w:t>二、贵州红色文化的思想渊源与基本理论问题研究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r>
        <w:rPr>
          <w:rFonts w:hint="eastAsia" w:ascii="Times New Roman" w:hAnsi="Times New Roman" w:eastAsia="仿宋_GB2312" w:cs="Times New Roman"/>
          <w:kern w:val="0"/>
          <w:sz w:val="32"/>
          <w:szCs w:val="32"/>
          <w:lang w:val="en-US" w:eastAsia="zh-CN"/>
        </w:rPr>
        <w:t>以“两个结合”为根本出发点，挖掘红色文化内涵、外延、本质特征、基本内容、形成背景等理论渊源、思想土壤和实践支撑，构建以伟大建党精神为起点、以中国共产党精神谱系为主线、以革命文化和社会主义先进文化为内容的红色文化理论体系。</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1．贵州红色文化的界定、成因、发展、内涵、外延及特征研究。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2．贵州红色文化的中华优秀传统文化思想渊源及其在建设中华民族现代文明中的作用研究。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3．贵州红色文化形成的马克思主义理论基础研究。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4．</w:t>
      </w:r>
      <w:r>
        <w:rPr>
          <w:rFonts w:hint="eastAsia" w:ascii="Times New Roman" w:hAnsi="Times New Roman" w:eastAsia="仿宋_GB2312" w:cs="仿宋_GB2312"/>
          <w:kern w:val="0"/>
          <w:sz w:val="32"/>
          <w:szCs w:val="32"/>
          <w:lang w:val="en" w:eastAsia="zh-CN"/>
        </w:rPr>
        <w:t>贵</w:t>
      </w:r>
      <w:r>
        <w:rPr>
          <w:rFonts w:hint="eastAsia" w:ascii="Times New Roman" w:hAnsi="Times New Roman" w:eastAsia="仿宋_GB2312" w:cs="仿宋_GB2312"/>
          <w:kern w:val="0"/>
          <w:sz w:val="32"/>
          <w:szCs w:val="32"/>
          <w:lang w:val="en-US" w:eastAsia="zh-CN"/>
        </w:rPr>
        <w:t>州红色文化的地域性发展图谱和成因研究。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5．贵州红色文化与民族文化、山水文化等的关系研究。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6</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习近平文化思想与贵州红色文化理论、实践的研究。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黑体" w:cs="黑体"/>
          <w:kern w:val="0"/>
          <w:sz w:val="32"/>
          <w:szCs w:val="32"/>
          <w:lang w:val="en-US" w:eastAsia="zh-CN"/>
        </w:rPr>
      </w:pPr>
      <w:r>
        <w:rPr>
          <w:rFonts w:hint="eastAsia" w:ascii="Times New Roman" w:hAnsi="Times New Roman" w:eastAsia="黑体" w:cs="黑体"/>
          <w:kern w:val="0"/>
          <w:sz w:val="32"/>
          <w:szCs w:val="32"/>
          <w:lang w:val="en-US" w:eastAsia="zh-CN"/>
        </w:rPr>
        <w:t>三、贵州红色文化的精神特质与中国共产党人精神谱系研究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r>
        <w:rPr>
          <w:rFonts w:hint="eastAsia" w:ascii="Times New Roman" w:hAnsi="Times New Roman" w:eastAsia="仿宋_GB2312" w:cs="Times New Roman"/>
          <w:kern w:val="0"/>
          <w:sz w:val="32"/>
          <w:szCs w:val="32"/>
          <w:lang w:val="en-US" w:eastAsia="zh-CN"/>
        </w:rPr>
        <w:t>重点开展贵州红色文化的精神特质研究，以及与党的红色精神谱系关系的研究。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spacing w:val="-20"/>
          <w:kern w:val="0"/>
          <w:sz w:val="32"/>
          <w:szCs w:val="32"/>
          <w:lang w:val="en-US" w:eastAsia="zh-CN"/>
        </w:rPr>
      </w:pPr>
      <w:r>
        <w:rPr>
          <w:rFonts w:hint="eastAsia" w:ascii="Times New Roman" w:hAnsi="Times New Roman" w:eastAsia="仿宋_GB2312" w:cs="仿宋_GB2312"/>
          <w:kern w:val="2"/>
          <w:sz w:val="32"/>
          <w:szCs w:val="32"/>
          <w:lang w:val="en-US" w:eastAsia="zh-CN"/>
        </w:rPr>
        <w:t>1</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习近平总书记关于长征和长征精神的</w:t>
      </w:r>
      <w:r>
        <w:rPr>
          <w:rFonts w:hint="eastAsia" w:ascii="Times New Roman" w:hAnsi="Times New Roman" w:eastAsia="仿宋_GB2312" w:cs="仿宋_GB2312"/>
          <w:spacing w:val="-20"/>
          <w:kern w:val="0"/>
          <w:sz w:val="32"/>
          <w:szCs w:val="32"/>
          <w:lang w:val="en-US" w:eastAsia="zh-CN"/>
        </w:rPr>
        <w:t>重要论述阐释与研究。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2．伟大建党精神对贵州的影响研究。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3</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长征精神在贵州的体现和特点以及</w:t>
      </w:r>
      <w:r>
        <w:rPr>
          <w:rFonts w:hint="eastAsia" w:ascii="Times New Roman" w:hAnsi="Times New Roman" w:eastAsia="仿宋_GB2312" w:cs="仿宋_GB2312"/>
          <w:spacing w:val="-20"/>
          <w:kern w:val="0"/>
          <w:sz w:val="32"/>
          <w:szCs w:val="32"/>
          <w:lang w:val="en-US" w:eastAsia="zh-CN"/>
        </w:rPr>
        <w:t>在新时代的价值研究。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4</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红军长征在贵州的文化活动及文艺创作研究（比如，创作的歌曲、出版的报纸、编演的话剧、写下的日记、标语以及漫画等）。</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5</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贵州在革命、建设和改革等历史进程中，具有全国影响的重大事件、重要人物体现出来的革命精神研究。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黑体" w:cs="黑体"/>
          <w:kern w:val="0"/>
          <w:sz w:val="32"/>
          <w:szCs w:val="32"/>
          <w:lang w:val="en-US" w:eastAsia="zh-CN"/>
        </w:rPr>
      </w:pPr>
      <w:r>
        <w:rPr>
          <w:rFonts w:hint="eastAsia" w:ascii="Times New Roman" w:hAnsi="Times New Roman" w:eastAsia="黑体" w:cs="黑体"/>
          <w:kern w:val="0"/>
          <w:sz w:val="32"/>
          <w:szCs w:val="32"/>
          <w:lang w:val="en-US" w:eastAsia="zh-CN"/>
        </w:rPr>
        <w:t>四、贵州红色文化的资料挖掘整理与数据库建设研究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r>
        <w:rPr>
          <w:rFonts w:hint="eastAsia" w:ascii="Times New Roman" w:hAnsi="Times New Roman" w:eastAsia="仿宋_GB2312" w:cs="Times New Roman"/>
          <w:kern w:val="0"/>
          <w:sz w:val="32"/>
          <w:szCs w:val="32"/>
          <w:lang w:val="en-US" w:eastAsia="zh-CN"/>
        </w:rPr>
        <w:t>组织贵州红色文化的资料挖掘、整理与数据库建设研究，推进贵州红色文化资源库建设。</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1</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贵州红色文化的重要史料文献收集整理研究。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2</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运用新文科视野下新技术新工具对贵州红色文化进行创造性转化和传承研究（比如，红色文献的数字化及利用研究等）。</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3</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贵州红色类物质和非物质文化遗产研究（比如，建筑、标语、文物、民歌等）。</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黑体" w:cs="黑体"/>
          <w:kern w:val="0"/>
          <w:sz w:val="32"/>
          <w:szCs w:val="32"/>
          <w:lang w:val="en-US" w:eastAsia="zh-CN"/>
        </w:rPr>
      </w:pPr>
      <w:r>
        <w:rPr>
          <w:rFonts w:hint="eastAsia" w:ascii="Times New Roman" w:hAnsi="Times New Roman" w:eastAsia="黑体" w:cs="黑体"/>
          <w:kern w:val="0"/>
          <w:sz w:val="32"/>
          <w:szCs w:val="32"/>
          <w:lang w:val="en-US" w:eastAsia="zh-CN"/>
        </w:rPr>
        <w:t>五、贵州红色文化的历史脉络与典型专题研究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r>
        <w:rPr>
          <w:rFonts w:hint="eastAsia" w:ascii="Times New Roman" w:hAnsi="Times New Roman" w:eastAsia="仿宋_GB2312" w:cs="Times New Roman"/>
          <w:kern w:val="0"/>
          <w:sz w:val="32"/>
          <w:szCs w:val="32"/>
          <w:lang w:val="en-US" w:eastAsia="zh-CN"/>
        </w:rPr>
        <w:t>开展长征（贵州）史专题研究、“红军长征在贵州”系列研究、长征重要人物和重要群体研究、抗战文化研究、解放战争中的贵州等，厘清贵州红色文化的历史源流和脉络。</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楷体_GB2312" w:cs="楷体_GB2312"/>
          <w:kern w:val="0"/>
          <w:sz w:val="32"/>
          <w:szCs w:val="32"/>
          <w:lang w:val="en-US" w:eastAsia="zh-CN"/>
        </w:rPr>
      </w:pPr>
      <w:r>
        <w:rPr>
          <w:rFonts w:hint="eastAsia" w:ascii="Times New Roman" w:hAnsi="Times New Roman" w:eastAsia="楷体_GB2312" w:cs="楷体_GB2312"/>
          <w:kern w:val="0"/>
          <w:sz w:val="32"/>
          <w:szCs w:val="32"/>
          <w:lang w:val="en-US" w:eastAsia="zh-CN"/>
        </w:rPr>
        <w:t>（一）长征（贵州）史专题研究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r>
        <w:rPr>
          <w:rFonts w:hint="eastAsia" w:ascii="Times New Roman" w:hAnsi="Times New Roman" w:eastAsia="仿宋_GB2312" w:cs="Times New Roman"/>
          <w:kern w:val="0"/>
          <w:sz w:val="32"/>
          <w:szCs w:val="32"/>
          <w:lang w:val="en-US" w:eastAsia="zh-CN"/>
        </w:rPr>
        <w:t>长征在贵州的“扩红”工作、群众工作、宣传思想文化工作、民族宗教工作、统战工作、军事工作、医疗卫生工作、后勤工作、情报工作等历史研究，以及关于长征报道与介绍的报刊（比如，《红星》报等）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楷体_GB2312" w:cs="楷体_GB2312"/>
          <w:kern w:val="0"/>
          <w:sz w:val="32"/>
          <w:szCs w:val="32"/>
          <w:lang w:val="en-US" w:eastAsia="zh-CN"/>
        </w:rPr>
      </w:pPr>
      <w:r>
        <w:rPr>
          <w:rFonts w:hint="eastAsia" w:ascii="Times New Roman" w:hAnsi="Times New Roman" w:eastAsia="楷体_GB2312" w:cs="楷体_GB2312"/>
          <w:kern w:val="0"/>
          <w:sz w:val="32"/>
          <w:szCs w:val="32"/>
          <w:lang w:val="en-US" w:eastAsia="zh-CN"/>
        </w:rPr>
        <w:t>（二）“红军长征在贵州”的历史研究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r>
        <w:rPr>
          <w:rFonts w:hint="eastAsia" w:ascii="Times New Roman" w:hAnsi="Times New Roman" w:eastAsia="仿宋_GB2312" w:cs="Times New Roman"/>
          <w:kern w:val="0"/>
          <w:sz w:val="32"/>
          <w:szCs w:val="32"/>
          <w:lang w:val="en-US" w:eastAsia="zh-CN"/>
        </w:rPr>
        <w:t>贵州境内长征历史，红军长征在贵州的史料、系列会议（比如，遵义会议、黎平会议、猴场会议、苟坝会议、盘县会议、石阡会议等）、系列战役战斗（比如，突破乌江、四渡赤水、遵义战役、乌蒙山回旋战、困牛山战斗，红二、红六军团转战贵州等），贵州革命政权建设（比如，黔东革命根据地、中华苏维埃人民共和国川滇黔省革命委员会等），贵州境内红军游击队（比如，黔北游击队、遵湄绥游击队等），贵州地方党组织及其活动（比如，中共贵州省工委、中共遵义县委等），等等。</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r>
        <w:rPr>
          <w:rFonts w:hint="eastAsia" w:ascii="Times New Roman" w:hAnsi="Times New Roman" w:eastAsia="楷体_GB2312" w:cs="楷体_GB2312"/>
          <w:kern w:val="0"/>
          <w:sz w:val="32"/>
          <w:szCs w:val="32"/>
          <w:lang w:val="en-US" w:eastAsia="zh-CN"/>
        </w:rPr>
        <w:t>（三）长征中贵州重要人物和重要群体研究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r>
        <w:rPr>
          <w:rFonts w:hint="eastAsia" w:ascii="Times New Roman" w:hAnsi="Times New Roman" w:eastAsia="仿宋_GB2312" w:cs="Times New Roman"/>
          <w:kern w:val="0"/>
          <w:sz w:val="32"/>
          <w:szCs w:val="32"/>
          <w:lang w:val="en-US" w:eastAsia="zh-CN"/>
        </w:rPr>
        <w:t>长征（贵州）中重要人物（比如，毛泽东、周恩来、朱德等老一辈无产阶级革命家，贵州籍重要革命人物等），重要群体（比如，前线指挥员、女红军、红小鬼、士绅、贵州少数民族参加红军的群体、技术人员等），红军部队的地区来源，在贵州牺牲的红军将士姓名、籍贯等基本信息，等等。</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楷体_GB2312" w:cs="楷体_GB2312"/>
          <w:kern w:val="0"/>
          <w:sz w:val="32"/>
          <w:szCs w:val="32"/>
          <w:lang w:val="en-US" w:eastAsia="zh-CN"/>
        </w:rPr>
      </w:pPr>
      <w:r>
        <w:rPr>
          <w:rFonts w:hint="eastAsia" w:ascii="Times New Roman" w:hAnsi="Times New Roman" w:eastAsia="楷体_GB2312" w:cs="楷体_GB2312"/>
          <w:kern w:val="0"/>
          <w:sz w:val="32"/>
          <w:szCs w:val="32"/>
          <w:lang w:val="en-US" w:eastAsia="zh-CN"/>
        </w:rPr>
        <w:t>（四）贵州抗战及其文化研究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1</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贵州在抗战时期的党组织及其活动，党组织与中共中央南方局关系等研究。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2</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抗战大后方的贵州研究（比如，贵州对世界反法西斯战争的贡献，抗战时期贵州的军事机构、军工厂、医疗救护、教育、出版业，等等）。</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3</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贵州参加正面战场和敌后战场的抗日战史战事研究。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4</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抗战时期贵州的国际援助和国际友人研究。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黑体" w:cs="黑体"/>
          <w:kern w:val="0"/>
          <w:sz w:val="32"/>
          <w:szCs w:val="32"/>
          <w:lang w:val="en-US" w:eastAsia="zh-CN"/>
        </w:rPr>
      </w:pPr>
      <w:r>
        <w:rPr>
          <w:rFonts w:hint="eastAsia" w:ascii="Times New Roman" w:hAnsi="Times New Roman" w:eastAsia="黑体" w:cs="黑体"/>
          <w:kern w:val="0"/>
          <w:sz w:val="32"/>
          <w:szCs w:val="32"/>
          <w:lang w:val="en-US" w:eastAsia="zh-CN"/>
        </w:rPr>
        <w:t>六、贵州红色文化资源的运用研究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r>
        <w:rPr>
          <w:rFonts w:hint="eastAsia" w:ascii="Times New Roman" w:hAnsi="Times New Roman" w:eastAsia="仿宋_GB2312" w:cs="Times New Roman"/>
          <w:kern w:val="0"/>
          <w:sz w:val="32"/>
          <w:szCs w:val="32"/>
          <w:lang w:val="en-US" w:eastAsia="zh-CN"/>
        </w:rPr>
        <w:t>开展贵州红色文化融于教育教学、助推文旅融合、赋能乡村振兴和高质量发展等研究，阐释贵州红色文化的时代价值和现实意义。</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楷体_GB2312" w:cs="楷体_GB2312"/>
          <w:kern w:val="0"/>
          <w:sz w:val="32"/>
          <w:szCs w:val="32"/>
          <w:lang w:val="en-US" w:eastAsia="zh-CN"/>
        </w:rPr>
      </w:pPr>
      <w:r>
        <w:rPr>
          <w:rFonts w:hint="eastAsia" w:ascii="Times New Roman" w:hAnsi="Times New Roman" w:eastAsia="楷体_GB2312" w:cs="楷体_GB2312"/>
          <w:kern w:val="0"/>
          <w:sz w:val="32"/>
          <w:szCs w:val="32"/>
          <w:lang w:val="en-US" w:eastAsia="zh-CN"/>
        </w:rPr>
        <w:t>（一）贵州红色文化融于教育教学研究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r>
        <w:rPr>
          <w:rFonts w:hint="eastAsia" w:ascii="Times New Roman" w:hAnsi="Times New Roman" w:eastAsia="仿宋_GB2312" w:cs="Times New Roman"/>
          <w:kern w:val="0"/>
          <w:sz w:val="32"/>
          <w:szCs w:val="32"/>
          <w:lang w:val="en-US" w:eastAsia="zh-CN"/>
        </w:rPr>
        <w:t>贵州红色文化与社会主义核心价值观、新时代中国特色社会主义相结合，以及教育培训成效和机制研究。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楷体_GB2312" w:cs="楷体_GB2312"/>
          <w:kern w:val="0"/>
          <w:sz w:val="32"/>
          <w:szCs w:val="32"/>
          <w:lang w:val="en-US" w:eastAsia="zh-CN"/>
        </w:rPr>
      </w:pPr>
      <w:r>
        <w:rPr>
          <w:rFonts w:hint="eastAsia" w:ascii="Times New Roman" w:hAnsi="Times New Roman" w:eastAsia="楷体_GB2312" w:cs="楷体_GB2312"/>
          <w:kern w:val="0"/>
          <w:sz w:val="32"/>
          <w:szCs w:val="32"/>
          <w:lang w:val="en-US" w:eastAsia="zh-CN"/>
        </w:rPr>
        <w:t>（二）贵州红色文化与旅游融合研究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r>
        <w:rPr>
          <w:rFonts w:hint="eastAsia" w:ascii="Times New Roman" w:hAnsi="Times New Roman" w:eastAsia="仿宋_GB2312" w:cs="Times New Roman"/>
          <w:kern w:val="0"/>
          <w:sz w:val="32"/>
          <w:szCs w:val="32"/>
          <w:lang w:val="en-US" w:eastAsia="zh-CN"/>
        </w:rPr>
        <w:t>贵州红色文旅融合发展、红色文化产业链和产业集群构建、长征国家文化公园及其贵州项目建设等。</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楷体_GB2312" w:cs="楷体_GB2312"/>
          <w:kern w:val="0"/>
          <w:sz w:val="32"/>
          <w:szCs w:val="32"/>
          <w:lang w:val="en-US" w:eastAsia="zh-CN"/>
        </w:rPr>
      </w:pPr>
      <w:r>
        <w:rPr>
          <w:rFonts w:hint="eastAsia" w:ascii="Times New Roman" w:hAnsi="Times New Roman" w:eastAsia="楷体_GB2312" w:cs="楷体_GB2312"/>
          <w:kern w:val="0"/>
          <w:sz w:val="32"/>
          <w:szCs w:val="32"/>
          <w:lang w:val="en-US" w:eastAsia="zh-CN"/>
        </w:rPr>
        <w:t>（三）贵州红色文化赋能乡村振兴研究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r>
        <w:rPr>
          <w:rFonts w:hint="eastAsia" w:ascii="Times New Roman" w:hAnsi="Times New Roman" w:eastAsia="仿宋_GB2312" w:cs="Times New Roman"/>
          <w:kern w:val="0"/>
          <w:sz w:val="32"/>
          <w:szCs w:val="32"/>
          <w:lang w:val="en-US" w:eastAsia="zh-CN"/>
        </w:rPr>
        <w:t>贵州红色文化资源赋能乡村振兴、铸牢中华民族共同体意识等。</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楷体_GB2312" w:cs="楷体_GB2312"/>
          <w:kern w:val="0"/>
          <w:sz w:val="32"/>
          <w:szCs w:val="32"/>
          <w:lang w:val="en-US" w:eastAsia="zh-CN"/>
        </w:rPr>
      </w:pPr>
      <w:r>
        <w:rPr>
          <w:rFonts w:hint="eastAsia" w:ascii="Times New Roman" w:hAnsi="Times New Roman" w:eastAsia="楷体_GB2312" w:cs="楷体_GB2312"/>
          <w:kern w:val="0"/>
          <w:sz w:val="32"/>
          <w:szCs w:val="32"/>
          <w:lang w:val="en-US" w:eastAsia="zh-CN"/>
        </w:rPr>
        <w:t>（四）贵州红色文化场馆建设研究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r>
        <w:rPr>
          <w:rFonts w:hint="eastAsia" w:ascii="Times New Roman" w:hAnsi="Times New Roman" w:eastAsia="仿宋_GB2312" w:cs="Times New Roman"/>
          <w:kern w:val="0"/>
          <w:sz w:val="32"/>
          <w:szCs w:val="32"/>
          <w:lang w:val="en-US" w:eastAsia="zh-CN"/>
        </w:rPr>
        <w:t>线下线上红色文化的馆藏、红色文化与科技融合的应用等。</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黑体" w:cs="黑体"/>
          <w:kern w:val="0"/>
          <w:sz w:val="32"/>
          <w:szCs w:val="32"/>
          <w:lang w:val="en-US" w:eastAsia="zh-CN"/>
        </w:rPr>
      </w:pPr>
      <w:r>
        <w:rPr>
          <w:rFonts w:hint="eastAsia" w:ascii="Times New Roman" w:hAnsi="Times New Roman" w:eastAsia="黑体" w:cs="黑体"/>
          <w:kern w:val="0"/>
          <w:sz w:val="32"/>
          <w:szCs w:val="32"/>
          <w:lang w:val="en-US" w:eastAsia="zh-CN"/>
        </w:rPr>
        <w:t>七、贵州红色文化的话语建构与当代传播研究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r>
        <w:rPr>
          <w:rFonts w:hint="eastAsia" w:ascii="Times New Roman" w:hAnsi="Times New Roman" w:eastAsia="仿宋_GB2312" w:cs="Times New Roman"/>
          <w:kern w:val="0"/>
          <w:sz w:val="32"/>
          <w:szCs w:val="32"/>
          <w:lang w:val="en-US" w:eastAsia="zh-CN"/>
        </w:rPr>
        <w:t>开展红色文化的话语体系构建研究、传播方式与路径研究、大众化研究、国际化传播研究等，加强红色文化话语体系阐释与建构，推动贵州红色文化传播的时代化、大众化和国际化。</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楷体_GB2312" w:cs="楷体_GB2312"/>
          <w:kern w:val="0"/>
          <w:sz w:val="32"/>
          <w:szCs w:val="32"/>
          <w:lang w:val="en-US" w:eastAsia="zh-CN"/>
        </w:rPr>
      </w:pPr>
      <w:r>
        <w:rPr>
          <w:rFonts w:hint="eastAsia" w:ascii="Times New Roman" w:hAnsi="Times New Roman" w:eastAsia="楷体_GB2312" w:cs="楷体_GB2312"/>
          <w:kern w:val="0"/>
          <w:sz w:val="32"/>
          <w:szCs w:val="32"/>
          <w:lang w:val="en-US" w:eastAsia="zh-CN"/>
        </w:rPr>
        <w:t>（一）贵州红色文化的话语体系构建研究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r>
        <w:rPr>
          <w:rFonts w:hint="eastAsia" w:ascii="Times New Roman" w:hAnsi="Times New Roman" w:eastAsia="仿宋_GB2312" w:cs="Times New Roman"/>
          <w:kern w:val="0"/>
          <w:sz w:val="32"/>
          <w:szCs w:val="32"/>
          <w:lang w:val="en-US" w:eastAsia="zh-CN"/>
        </w:rPr>
        <w:t>红色文化的学术体系、话语体系建构，贵州红色文化的文化叙事、革命历史叙事等研究。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楷体_GB2312" w:cs="楷体_GB2312"/>
          <w:kern w:val="0"/>
          <w:sz w:val="32"/>
          <w:szCs w:val="32"/>
          <w:lang w:val="en-US" w:eastAsia="zh-CN"/>
        </w:rPr>
      </w:pPr>
      <w:r>
        <w:rPr>
          <w:rFonts w:hint="eastAsia" w:ascii="Times New Roman" w:hAnsi="Times New Roman" w:eastAsia="楷体_GB2312" w:cs="楷体_GB2312"/>
          <w:kern w:val="0"/>
          <w:sz w:val="32"/>
          <w:szCs w:val="32"/>
          <w:lang w:val="en-US" w:eastAsia="zh-CN"/>
        </w:rPr>
        <w:t>（二）贵州红色文化的传播方式与路径研究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r>
        <w:rPr>
          <w:rFonts w:hint="eastAsia" w:ascii="Times New Roman" w:hAnsi="Times New Roman" w:eastAsia="仿宋_GB2312" w:cs="Times New Roman"/>
          <w:kern w:val="0"/>
          <w:sz w:val="32"/>
          <w:szCs w:val="32"/>
          <w:lang w:val="en-US" w:eastAsia="zh-CN"/>
        </w:rPr>
        <w:t>贵州红色文化传播的符号学建构，贵州红色文化数字化开发与应用研究。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楷体_GB2312" w:cs="楷体_GB2312"/>
          <w:kern w:val="0"/>
          <w:sz w:val="32"/>
          <w:szCs w:val="32"/>
          <w:lang w:val="en-US" w:eastAsia="zh-CN"/>
        </w:rPr>
      </w:pPr>
      <w:r>
        <w:rPr>
          <w:rFonts w:hint="eastAsia" w:ascii="Times New Roman" w:hAnsi="Times New Roman" w:eastAsia="楷体_GB2312" w:cs="楷体_GB2312"/>
          <w:kern w:val="0"/>
          <w:sz w:val="32"/>
          <w:szCs w:val="32"/>
          <w:lang w:val="en-US" w:eastAsia="zh-CN"/>
        </w:rPr>
        <w:t>（三）贵州红色文化的大众化研究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r>
        <w:rPr>
          <w:rFonts w:hint="eastAsia" w:ascii="Times New Roman" w:hAnsi="Times New Roman" w:eastAsia="仿宋_GB2312" w:cs="Times New Roman"/>
          <w:kern w:val="0"/>
          <w:sz w:val="32"/>
          <w:szCs w:val="32"/>
          <w:lang w:val="en-US" w:eastAsia="zh-CN"/>
        </w:rPr>
        <w:t>新时代贵州红色文化大众化传播的机遇、挑战与对策，贵州红色文化演艺及其项目等研究。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楷体_GB2312" w:cs="楷体_GB2312"/>
          <w:kern w:val="0"/>
          <w:sz w:val="32"/>
          <w:szCs w:val="32"/>
          <w:lang w:val="en-US" w:eastAsia="zh-CN"/>
        </w:rPr>
      </w:pPr>
      <w:r>
        <w:rPr>
          <w:rFonts w:hint="eastAsia" w:ascii="Times New Roman" w:hAnsi="Times New Roman" w:eastAsia="楷体_GB2312" w:cs="楷体_GB2312"/>
          <w:kern w:val="0"/>
          <w:sz w:val="32"/>
          <w:szCs w:val="32"/>
          <w:lang w:val="en-US" w:eastAsia="zh-CN"/>
        </w:rPr>
        <w:t>（四）贵州红色文化的国际化传播研究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r>
        <w:rPr>
          <w:rFonts w:hint="eastAsia" w:ascii="Times New Roman" w:hAnsi="Times New Roman" w:eastAsia="仿宋_GB2312" w:cs="Times New Roman"/>
          <w:kern w:val="0"/>
          <w:sz w:val="32"/>
          <w:szCs w:val="32"/>
          <w:lang w:val="en-US" w:eastAsia="zh-CN"/>
        </w:rPr>
        <w:t>贵州红色文化的国际化传播路径、方式、效果等，新时代如何在国际上讲好贵州红色文化故事，等等。</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黑体" w:cs="黑体"/>
          <w:kern w:val="0"/>
          <w:sz w:val="32"/>
          <w:szCs w:val="32"/>
          <w:lang w:val="en-US" w:eastAsia="zh-CN"/>
        </w:rPr>
      </w:pPr>
      <w:r>
        <w:rPr>
          <w:rFonts w:hint="eastAsia" w:ascii="Times New Roman" w:hAnsi="Times New Roman" w:eastAsia="黑体" w:cs="黑体"/>
          <w:kern w:val="0"/>
          <w:sz w:val="32"/>
          <w:szCs w:val="32"/>
          <w:lang w:val="en-US" w:eastAsia="zh-CN"/>
        </w:rPr>
        <w:t>八、贵州红色文化的传承保护与开发利用研究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r>
        <w:rPr>
          <w:rFonts w:hint="eastAsia" w:ascii="Times New Roman" w:hAnsi="Times New Roman" w:eastAsia="仿宋_GB2312" w:cs="Times New Roman"/>
          <w:kern w:val="0"/>
          <w:sz w:val="32"/>
          <w:szCs w:val="32"/>
          <w:lang w:val="en-US" w:eastAsia="zh-CN"/>
        </w:rPr>
        <w:t>基于文旅融合、“科技+人文”视角，加强贵州红色文化展示、保护、利用、开发等研究。比如，贵州红色文化的整体性呈现及其拓展，革命文物的挖掘传承保护，红色文化资源的数字化，红色展馆建设，红色文化与民族文化融合发展，红色文化赋能经济社会的高质量发展以及在中国式现代化中的作用，长征国家文化公园贵州重点建设区系列理论和实践，等等。</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p>
    <w:p>
      <w:pPr>
        <w:widowControl/>
        <w:adjustRightInd w:val="0"/>
        <w:snapToGrid w:val="0"/>
        <w:spacing w:before="100" w:beforeAutospacing="1" w:after="200" w:line="240" w:lineRule="auto"/>
        <w:jc w:val="left"/>
        <w:rPr>
          <w:rFonts w:hint="eastAsia" w:ascii="Times New Roman" w:hAnsi="Times New Roman" w:eastAsia="仿宋_GB2312" w:cs="Times New Roman"/>
          <w:kern w:val="0"/>
          <w:sz w:val="32"/>
          <w:szCs w:val="32"/>
          <w:lang w:val="en-US" w:eastAsia="zh-CN"/>
        </w:rPr>
      </w:pPr>
    </w:p>
    <w:p>
      <w:pPr>
        <w:widowControl/>
        <w:adjustRightInd w:val="0"/>
        <w:snapToGrid w:val="0"/>
        <w:spacing w:before="100" w:beforeAutospacing="1" w:after="200" w:line="240" w:lineRule="auto"/>
        <w:jc w:val="left"/>
        <w:rPr>
          <w:rFonts w:hint="eastAsia" w:ascii="Times New Roman" w:hAnsi="Times New Roman" w:eastAsia="仿宋_GB2312" w:cs="Times New Roman"/>
          <w:kern w:val="0"/>
          <w:sz w:val="32"/>
          <w:szCs w:val="32"/>
          <w:lang w:val="en-US" w:eastAsia="zh-CN"/>
        </w:rPr>
      </w:pPr>
    </w:p>
    <w:p>
      <w:pPr>
        <w:widowControl/>
        <w:adjustRightInd w:val="0"/>
        <w:snapToGrid w:val="0"/>
        <w:spacing w:before="100" w:beforeAutospacing="1" w:after="200" w:line="240" w:lineRule="auto"/>
        <w:jc w:val="left"/>
        <w:rPr>
          <w:rFonts w:hint="eastAsia" w:ascii="Times New Roman" w:hAnsi="Times New Roman" w:eastAsia="仿宋_GB2312" w:cs="Times New Roman"/>
          <w:kern w:val="0"/>
          <w:sz w:val="32"/>
          <w:szCs w:val="32"/>
          <w:lang w:val="en-US" w:eastAsia="zh-CN"/>
        </w:rPr>
      </w:pPr>
    </w:p>
    <w:p>
      <w:pPr>
        <w:widowControl/>
        <w:adjustRightInd w:val="0"/>
        <w:snapToGrid w:val="0"/>
        <w:spacing w:before="100" w:beforeAutospacing="1" w:after="200" w:line="240" w:lineRule="auto"/>
        <w:jc w:val="left"/>
        <w:rPr>
          <w:rFonts w:hint="eastAsia" w:ascii="Times New Roman" w:hAnsi="Times New Roman" w:eastAsia="仿宋_GB2312" w:cs="Times New Roman"/>
          <w:kern w:val="0"/>
          <w:sz w:val="32"/>
          <w:szCs w:val="32"/>
          <w:lang w:val="en-US" w:eastAsia="zh-CN"/>
        </w:rPr>
      </w:pPr>
    </w:p>
    <w:p>
      <w:pPr>
        <w:widowControl/>
        <w:adjustRightInd w:val="0"/>
        <w:snapToGrid w:val="0"/>
        <w:spacing w:before="100" w:beforeAutospacing="1" w:after="200" w:line="240" w:lineRule="auto"/>
        <w:jc w:val="left"/>
        <w:rPr>
          <w:rFonts w:hint="eastAsia" w:ascii="Times New Roman" w:hAnsi="Times New Roman" w:eastAsia="仿宋_GB2312" w:cs="Times New Roman"/>
          <w:kern w:val="0"/>
          <w:sz w:val="32"/>
          <w:szCs w:val="32"/>
          <w:lang w:val="en-US" w:eastAsia="zh-CN"/>
        </w:rPr>
      </w:pPr>
    </w:p>
    <w:p>
      <w:pPr>
        <w:widowControl/>
        <w:adjustRightInd w:val="0"/>
        <w:snapToGrid w:val="0"/>
        <w:spacing w:before="100" w:beforeAutospacing="1" w:after="200" w:line="240" w:lineRule="auto"/>
        <w:jc w:val="left"/>
        <w:rPr>
          <w:rFonts w:hint="eastAsia" w:ascii="Times New Roman" w:hAnsi="Times New Roman" w:eastAsia="仿宋_GB2312" w:cs="Times New Roman"/>
          <w:kern w:val="0"/>
          <w:sz w:val="32"/>
          <w:szCs w:val="32"/>
          <w:lang w:val="en-US" w:eastAsia="zh-CN"/>
        </w:rPr>
      </w:pPr>
    </w:p>
    <w:p>
      <w:pPr>
        <w:widowControl/>
        <w:adjustRightInd w:val="0"/>
        <w:snapToGrid w:val="0"/>
        <w:spacing w:before="100" w:beforeAutospacing="1" w:after="200" w:line="240" w:lineRule="auto"/>
        <w:jc w:val="left"/>
        <w:rPr>
          <w:rFonts w:hint="eastAsia" w:ascii="Times New Roman" w:hAnsi="Times New Roman" w:eastAsia="仿宋_GB2312" w:cs="Times New Roman"/>
          <w:kern w:val="0"/>
          <w:sz w:val="32"/>
          <w:szCs w:val="32"/>
          <w:lang w:val="en-US" w:eastAsia="zh-CN"/>
        </w:rPr>
      </w:pPr>
    </w:p>
    <w:p>
      <w:pPr>
        <w:widowControl/>
        <w:adjustRightInd w:val="0"/>
        <w:snapToGrid w:val="0"/>
        <w:spacing w:before="100" w:beforeAutospacing="1" w:after="200" w:line="240" w:lineRule="auto"/>
        <w:jc w:val="left"/>
        <w:rPr>
          <w:rFonts w:hint="eastAsia" w:ascii="Times New Roman" w:hAnsi="Times New Roman" w:eastAsia="仿宋_GB2312" w:cs="Times New Roman"/>
          <w:kern w:val="0"/>
          <w:sz w:val="32"/>
          <w:szCs w:val="32"/>
          <w:lang w:val="en-US" w:eastAsia="zh-CN"/>
        </w:rPr>
      </w:pPr>
    </w:p>
    <w:p>
      <w:pPr>
        <w:widowControl/>
        <w:adjustRightInd w:val="0"/>
        <w:snapToGrid w:val="0"/>
        <w:spacing w:before="100" w:beforeAutospacing="1" w:after="200" w:line="240" w:lineRule="auto"/>
        <w:jc w:val="left"/>
        <w:rPr>
          <w:rFonts w:hint="eastAsia" w:ascii="Times New Roman" w:hAnsi="Times New Roman" w:eastAsia="仿宋_GB2312" w:cs="Times New Roman"/>
          <w:kern w:val="0"/>
          <w:sz w:val="32"/>
          <w:szCs w:val="32"/>
          <w:lang w:val="en-US" w:eastAsia="zh-CN"/>
        </w:rPr>
      </w:pPr>
    </w:p>
    <w:p>
      <w:pPr>
        <w:pStyle w:val="2"/>
        <w:rPr>
          <w:rFonts w:hint="eastAsia"/>
          <w:lang w:val="en-US" w:eastAsia="zh-CN"/>
        </w:rPr>
      </w:pPr>
    </w:p>
    <w:p>
      <w:pPr>
        <w:widowControl/>
        <w:adjustRightInd w:val="0"/>
        <w:snapToGrid w:val="0"/>
        <w:spacing w:before="100" w:beforeAutospacing="1" w:after="200" w:line="240" w:lineRule="auto"/>
        <w:jc w:val="left"/>
        <w:rPr>
          <w:rFonts w:hint="eastAsia" w:ascii="Times New Roman" w:hAnsi="Times New Roman" w:eastAsia="仿宋_GB2312" w:cs="Times New Roman"/>
          <w:kern w:val="0"/>
          <w:sz w:val="32"/>
          <w:szCs w:val="32"/>
          <w:lang w:val="en-US" w:eastAsia="zh-CN"/>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FD8B5EBA"/>
    <w:rsid w:val="FD8B5E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customStyle="1" w:styleId="2">
    <w:name w:val="正文-公1"/>
    <w:basedOn w:val="3"/>
    <w:next w:val="4"/>
    <w:qFormat/>
    <w:uiPriority w:val="0"/>
    <w:pPr>
      <w:ind w:firstLine="200" w:firstLineChars="200"/>
    </w:pPr>
    <w:rPr>
      <w:rFonts w:ascii="宋体" w:hAnsi="宋体"/>
      <w:szCs w:val="24"/>
    </w:rPr>
  </w:style>
  <w:style w:type="paragraph" w:customStyle="1" w:styleId="3">
    <w:name w:val="正文1"/>
    <w:next w:val="2"/>
    <w:qFormat/>
    <w:uiPriority w:val="0"/>
    <w:pPr>
      <w:jc w:val="both"/>
    </w:pPr>
    <w:rPr>
      <w:rFonts w:ascii="Times New Roman" w:hAnsi="Times New Roman" w:eastAsia="宋体" w:cs="黑体"/>
      <w:sz w:val="21"/>
      <w:szCs w:val="22"/>
      <w:lang w:val="en-US" w:eastAsia="zh-CN" w:bidi="ar-SA"/>
    </w:rPr>
  </w:style>
  <w:style w:type="paragraph" w:styleId="4">
    <w:name w:val="header"/>
    <w:basedOn w:val="1"/>
    <w:next w:val="1"/>
    <w:unhideWhenUsed/>
    <w:qFormat/>
    <w:uiPriority w:val="99"/>
    <w:pPr>
      <w:pBdr>
        <w:bottom w:val="single" w:color="auto" w:sz="6" w:space="1"/>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Office_11.1.0.9719_F1E327BC-269C-435d-A152-05C5408002CA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2025-12-24T19:08:00Z</dcterms:created>
  <dc:creator>@皓</dc:creator>
  <cp:lastModifiedBy>@皓</cp:lastModifiedBy>
  <dcterms:modified xsi:type="dcterms:W3CDTF">2025-12-24T19:09:07Z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2052-11.1.0.9719</vt:lpwstr>
  </property>
</Properties>
</file>